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A239E" w14:textId="2D45A937" w:rsidR="0075437B" w:rsidRDefault="0075437B" w:rsidP="00E36437">
      <w:pPr>
        <w:pStyle w:val="Heading1"/>
        <w:rPr>
          <w:rFonts w:cstheme="majorHAnsi"/>
          <w:b w:val="0"/>
          <w:bCs w:val="0"/>
          <w:color w:val="auto"/>
          <w:sz w:val="24"/>
          <w:szCs w:val="24"/>
        </w:rPr>
      </w:pPr>
      <w:r w:rsidRPr="0075437B">
        <w:rPr>
          <w:rFonts w:cstheme="majorHAnsi"/>
          <w:b w:val="0"/>
          <w:bCs w:val="0"/>
          <w:noProof/>
          <w:color w:val="auto"/>
          <w:sz w:val="24"/>
          <w:szCs w:val="24"/>
        </w:rPr>
        <w:drawing>
          <wp:anchor distT="0" distB="0" distL="114300" distR="114300" simplePos="0" relativeHeight="251658240" behindDoc="0" locked="0" layoutInCell="1" allowOverlap="1" wp14:anchorId="64797F71" wp14:editId="18CB121B">
            <wp:simplePos x="0" y="0"/>
            <wp:positionH relativeFrom="margin">
              <wp:align>right</wp:align>
            </wp:positionH>
            <wp:positionV relativeFrom="paragraph">
              <wp:posOffset>-676275</wp:posOffset>
            </wp:positionV>
            <wp:extent cx="5486400" cy="1301750"/>
            <wp:effectExtent l="0" t="0" r="0" b="0"/>
            <wp:wrapNone/>
            <wp:docPr id="1606186219" name="Picture 1" descr="Three logos, from left to right, for the Midwest Microelectronics Consortium (MMEC), Ohio State’s Institute for Materials and Manufacturing Research, and the College of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86219" name="Picture 1" descr="Three logos, from left to right, for the Midwest Microelectronics Consortium (MMEC), Ohio State’s Institute for Materials and Manufacturing Research, and the College of Engineering."/>
                    <pic:cNvPicPr/>
                  </pic:nvPicPr>
                  <pic:blipFill>
                    <a:blip r:embed="rId11"/>
                    <a:stretch>
                      <a:fillRect/>
                    </a:stretch>
                  </pic:blipFill>
                  <pic:spPr>
                    <a:xfrm>
                      <a:off x="0" y="0"/>
                      <a:ext cx="5486400" cy="1301750"/>
                    </a:xfrm>
                    <a:prstGeom prst="rect">
                      <a:avLst/>
                    </a:prstGeom>
                  </pic:spPr>
                </pic:pic>
              </a:graphicData>
            </a:graphic>
            <wp14:sizeRelH relativeFrom="page">
              <wp14:pctWidth>0</wp14:pctWidth>
            </wp14:sizeRelH>
            <wp14:sizeRelV relativeFrom="page">
              <wp14:pctHeight>0</wp14:pctHeight>
            </wp14:sizeRelV>
          </wp:anchor>
        </w:drawing>
      </w:r>
    </w:p>
    <w:p w14:paraId="092EC77D" w14:textId="77777777" w:rsidR="00E36437" w:rsidRDefault="00E36437" w:rsidP="00E36437">
      <w:pPr>
        <w:rPr>
          <w:rFonts w:asciiTheme="majorHAnsi" w:eastAsiaTheme="majorEastAsia" w:hAnsiTheme="majorHAnsi" w:cstheme="majorHAnsi"/>
          <w:sz w:val="24"/>
          <w:szCs w:val="24"/>
        </w:rPr>
      </w:pPr>
    </w:p>
    <w:p w14:paraId="41F70C91" w14:textId="178AD3DC" w:rsidR="00E36437" w:rsidRPr="00E36437" w:rsidRDefault="00E36437" w:rsidP="00E36437">
      <w:pPr>
        <w:rPr>
          <w:rFonts w:asciiTheme="majorHAnsi" w:eastAsiaTheme="majorEastAsia" w:hAnsiTheme="majorHAnsi" w:cstheme="majorHAnsi"/>
          <w:sz w:val="24"/>
          <w:szCs w:val="24"/>
        </w:rPr>
      </w:pPr>
      <w:r w:rsidRPr="00E36437">
        <w:rPr>
          <w:rFonts w:asciiTheme="majorHAnsi" w:eastAsiaTheme="majorEastAsia" w:hAnsiTheme="majorHAnsi" w:cstheme="majorHAnsi"/>
          <w:sz w:val="24"/>
          <w:szCs w:val="24"/>
        </w:rPr>
        <w:t>Dear Prospective MIST Student Applicant,</w:t>
      </w:r>
    </w:p>
    <w:p w14:paraId="58F77B19" w14:textId="3DA9F29D" w:rsidR="00E36437" w:rsidRDefault="00E36437" w:rsidP="00E36437">
      <w:pPr>
        <w:rPr>
          <w:rFonts w:asciiTheme="majorHAnsi" w:eastAsiaTheme="majorEastAsia" w:hAnsiTheme="majorHAnsi" w:cstheme="majorHAnsi"/>
          <w:sz w:val="24"/>
          <w:szCs w:val="24"/>
        </w:rPr>
      </w:pPr>
      <w:r w:rsidRPr="00E36437">
        <w:rPr>
          <w:rFonts w:asciiTheme="majorHAnsi" w:eastAsiaTheme="majorEastAsia" w:hAnsiTheme="majorHAnsi" w:cstheme="majorHAnsi"/>
          <w:sz w:val="24"/>
          <w:szCs w:val="24"/>
        </w:rPr>
        <w:t>The Midwest Infrared Semiconductor Technology (MIST) Workshop at The Ohio State University brings together students, researchers, and industry leaders working across the electro-optical and infrared (EO/IR) semiconductor ecosystem. To help you explore this field and better understand the technical landscape prior to applying, we have compiled the following short set of introductory resources. These materials provide a high-level overview of EO/IR systems, their applications, and the research and development challenges that shape the field today. Reviewing them is not required for application, but it will help you become familiar with the concepts, terminology, and innovation pipeline that the MIST workshop is designed to highlight.</w:t>
      </w:r>
    </w:p>
    <w:p w14:paraId="2631F09D" w14:textId="2E0448EB" w:rsidR="0075437B" w:rsidRDefault="0075437B" w:rsidP="00E36437">
      <w:pPr>
        <w:rPr>
          <w:rFonts w:asciiTheme="majorHAnsi" w:eastAsiaTheme="majorEastAsia" w:hAnsiTheme="majorHAnsi" w:cstheme="majorHAnsi"/>
          <w:sz w:val="24"/>
          <w:szCs w:val="24"/>
        </w:rPr>
      </w:pPr>
      <w:r w:rsidRPr="0075437B">
        <w:rPr>
          <w:rFonts w:asciiTheme="majorHAnsi" w:eastAsiaTheme="majorEastAsia" w:hAnsiTheme="majorHAnsi" w:cstheme="majorHAnsi"/>
          <w:sz w:val="24"/>
          <w:szCs w:val="24"/>
        </w:rPr>
        <w:br/>
      </w:r>
      <w:r w:rsidR="00E36437">
        <w:rPr>
          <w:rFonts w:asciiTheme="majorHAnsi" w:eastAsiaTheme="majorEastAsia" w:hAnsiTheme="majorHAnsi" w:cstheme="majorHAnsi"/>
          <w:sz w:val="24"/>
          <w:szCs w:val="24"/>
        </w:rPr>
        <w:t xml:space="preserve">Best </w:t>
      </w:r>
      <w:r w:rsidRPr="0075437B">
        <w:rPr>
          <w:rFonts w:asciiTheme="majorHAnsi" w:eastAsiaTheme="majorEastAsia" w:hAnsiTheme="majorHAnsi" w:cstheme="majorHAnsi"/>
          <w:sz w:val="24"/>
          <w:szCs w:val="24"/>
        </w:rPr>
        <w:t>Regards</w:t>
      </w:r>
      <w:r w:rsidR="00E36437">
        <w:rPr>
          <w:rFonts w:asciiTheme="majorHAnsi" w:eastAsiaTheme="majorEastAsia" w:hAnsiTheme="majorHAnsi" w:cstheme="majorHAnsi"/>
          <w:sz w:val="24"/>
          <w:szCs w:val="24"/>
        </w:rPr>
        <w:t xml:space="preserve">, </w:t>
      </w:r>
      <w:r w:rsidR="00E36437">
        <w:rPr>
          <w:rFonts w:asciiTheme="majorHAnsi" w:eastAsiaTheme="majorEastAsia" w:hAnsiTheme="majorHAnsi" w:cstheme="majorHAnsi"/>
          <w:sz w:val="24"/>
          <w:szCs w:val="24"/>
        </w:rPr>
        <w:br/>
      </w:r>
      <w:r w:rsidR="00B0265D" w:rsidRPr="00B0265D">
        <w:rPr>
          <w:rFonts w:asciiTheme="majorHAnsi" w:eastAsiaTheme="majorEastAsia" w:hAnsiTheme="majorHAnsi" w:cstheme="majorHAnsi"/>
          <w:sz w:val="24"/>
          <w:szCs w:val="24"/>
        </w:rPr>
        <w:t>MIST Planning Committee Members</w:t>
      </w:r>
    </w:p>
    <w:p w14:paraId="0624B554" w14:textId="77777777" w:rsidR="00E36437" w:rsidRPr="00B0265D" w:rsidRDefault="00E36437" w:rsidP="00E36437">
      <w:pPr>
        <w:pBdr>
          <w:bottom w:val="dotted" w:sz="24" w:space="1" w:color="auto"/>
        </w:pBdr>
        <w:rPr>
          <w:rFonts w:asciiTheme="majorHAnsi" w:eastAsiaTheme="majorEastAsia" w:hAnsiTheme="majorHAnsi" w:cstheme="majorHAnsi"/>
          <w:sz w:val="24"/>
          <w:szCs w:val="24"/>
        </w:rPr>
      </w:pPr>
    </w:p>
    <w:p w14:paraId="7CC41E35" w14:textId="04EC7619" w:rsidR="0058561A" w:rsidRPr="00B0265D" w:rsidRDefault="00000000" w:rsidP="00E36437">
      <w:pPr>
        <w:pStyle w:val="Heading1"/>
        <w:jc w:val="center"/>
        <w:rPr>
          <w:rFonts w:cstheme="majorHAnsi"/>
          <w:color w:val="auto"/>
          <w:sz w:val="24"/>
          <w:szCs w:val="24"/>
        </w:rPr>
      </w:pPr>
      <w:r w:rsidRPr="00B0265D">
        <w:rPr>
          <w:rFonts w:cstheme="majorHAnsi"/>
          <w:color w:val="auto"/>
          <w:sz w:val="24"/>
          <w:szCs w:val="24"/>
        </w:rPr>
        <w:t>Introduction to EO/IR (Electro-Optical / Infrared Systems)</w:t>
      </w:r>
    </w:p>
    <w:p w14:paraId="1F092847" w14:textId="5DB622B6" w:rsidR="0075437B" w:rsidRDefault="00000000" w:rsidP="00E36437">
      <w:pPr>
        <w:rPr>
          <w:rFonts w:asciiTheme="majorHAnsi" w:hAnsiTheme="majorHAnsi" w:cstheme="majorHAnsi"/>
          <w:sz w:val="24"/>
          <w:szCs w:val="24"/>
        </w:rPr>
      </w:pPr>
      <w:r w:rsidRPr="00B0265D">
        <w:rPr>
          <w:rFonts w:asciiTheme="majorHAnsi" w:hAnsiTheme="majorHAnsi" w:cstheme="majorHAnsi"/>
          <w:sz w:val="24"/>
          <w:szCs w:val="24"/>
        </w:rPr>
        <w:t>Electro-Optical / Infrared (EO/IR) systems combine “electro</w:t>
      </w:r>
      <w:r w:rsidRPr="00B0265D">
        <w:rPr>
          <w:rFonts w:ascii="Cambria Math" w:hAnsi="Cambria Math" w:cs="Cambria Math"/>
          <w:sz w:val="24"/>
          <w:szCs w:val="24"/>
        </w:rPr>
        <w:t>‑</w:t>
      </w:r>
      <w:r w:rsidRPr="00B0265D">
        <w:rPr>
          <w:rFonts w:asciiTheme="majorHAnsi" w:hAnsiTheme="majorHAnsi" w:cstheme="majorHAnsi"/>
          <w:sz w:val="24"/>
          <w:szCs w:val="24"/>
        </w:rPr>
        <w:t>optical</w:t>
      </w:r>
      <w:r w:rsidRPr="00B0265D">
        <w:rPr>
          <w:rFonts w:ascii="Calibri" w:hAnsi="Calibri" w:cs="Calibri"/>
          <w:sz w:val="24"/>
          <w:szCs w:val="24"/>
        </w:rPr>
        <w:t>”</w:t>
      </w:r>
      <w:r w:rsidRPr="00B0265D">
        <w:rPr>
          <w:rFonts w:asciiTheme="majorHAnsi" w:hAnsiTheme="majorHAnsi" w:cstheme="majorHAnsi"/>
          <w:sz w:val="24"/>
          <w:szCs w:val="24"/>
        </w:rPr>
        <w:t xml:space="preserve"> (visible and near</w:t>
      </w:r>
      <w:r w:rsidRPr="00B0265D">
        <w:rPr>
          <w:rFonts w:ascii="Cambria Math" w:hAnsi="Cambria Math" w:cs="Cambria Math"/>
          <w:sz w:val="24"/>
          <w:szCs w:val="24"/>
        </w:rPr>
        <w:t>‑</w:t>
      </w:r>
      <w:r w:rsidRPr="00B0265D">
        <w:rPr>
          <w:rFonts w:asciiTheme="majorHAnsi" w:hAnsiTheme="majorHAnsi" w:cstheme="majorHAnsi"/>
          <w:sz w:val="24"/>
          <w:szCs w:val="24"/>
        </w:rPr>
        <w:t>infrared light) sensors with thermal infrared (IR) sensors to provide imaging and detection capabilities across both the light and heat spectra. In essence, the EO portion acts like a camera that captures what is visible (or nearly visible) to the eye (or in the near</w:t>
      </w:r>
      <w:r w:rsidRPr="00B0265D">
        <w:rPr>
          <w:rFonts w:ascii="Cambria Math" w:hAnsi="Cambria Math" w:cs="Cambria Math"/>
          <w:sz w:val="24"/>
          <w:szCs w:val="24"/>
        </w:rPr>
        <w:t>‑</w:t>
      </w:r>
      <w:r w:rsidRPr="00B0265D">
        <w:rPr>
          <w:rFonts w:asciiTheme="majorHAnsi" w:hAnsiTheme="majorHAnsi" w:cstheme="majorHAnsi"/>
          <w:sz w:val="24"/>
          <w:szCs w:val="24"/>
        </w:rPr>
        <w:t>IR), while the IR portion senses the heat (thermal radiation) emitted by objects. The fusion of these two enables monitoring, tracking, and identification of objects under a wide range of lighting and weather conditions (including night or obscured visibility) that a conventional optical camera alone could not handle. (</w:t>
      </w:r>
      <w:hyperlink r:id="rId12" w:history="1">
        <w:r w:rsidR="0075437B" w:rsidRPr="005A38E2">
          <w:rPr>
            <w:rStyle w:val="Hyperlink"/>
            <w:rFonts w:asciiTheme="majorHAnsi" w:hAnsiTheme="majorHAnsi" w:cstheme="majorHAnsi"/>
            <w:sz w:val="24"/>
            <w:szCs w:val="24"/>
          </w:rPr>
          <w:t>https://www.flir.com/discover/rd-science/what-is-eoir/</w:t>
        </w:r>
      </w:hyperlink>
      <w:r w:rsidR="0075437B">
        <w:rPr>
          <w:rFonts w:asciiTheme="majorHAnsi" w:hAnsiTheme="majorHAnsi" w:cstheme="majorHAnsi"/>
          <w:sz w:val="24"/>
          <w:szCs w:val="24"/>
        </w:rPr>
        <w:t>)</w:t>
      </w:r>
    </w:p>
    <w:p w14:paraId="22E56F99" w14:textId="200D8A8B" w:rsidR="0075437B" w:rsidRDefault="0076236F" w:rsidP="00E36437">
      <w:pPr>
        <w:rPr>
          <w:rFonts w:asciiTheme="majorHAnsi" w:hAnsiTheme="majorHAnsi" w:cstheme="majorHAnsi"/>
          <w:sz w:val="24"/>
          <w:szCs w:val="24"/>
        </w:rPr>
      </w:pPr>
      <w:r w:rsidRPr="00B0265D">
        <w:rPr>
          <w:rFonts w:asciiTheme="majorHAnsi" w:hAnsiTheme="majorHAnsi" w:cstheme="majorHAnsi"/>
          <w:sz w:val="24"/>
          <w:szCs w:val="24"/>
        </w:rPr>
        <w:t xml:space="preserve">EO/IR systems are widely used in defense, aerospace, surveillance, and unmanned aerial systems (UAS). For example, EO/IR payloads on drones or aircraft allow operators to “see” both visual detail and heat signatures, helping in tasks like search &amp; rescue, object detection, or targeting. </w:t>
      </w:r>
      <w:r w:rsidR="0075437B">
        <w:rPr>
          <w:rFonts w:asciiTheme="majorHAnsi" w:hAnsiTheme="majorHAnsi" w:cstheme="majorHAnsi"/>
          <w:sz w:val="24"/>
          <w:szCs w:val="24"/>
        </w:rPr>
        <w:t>(</w:t>
      </w:r>
      <w:hyperlink r:id="rId13" w:history="1">
        <w:r w:rsidRPr="005A38E2">
          <w:rPr>
            <w:rStyle w:val="Hyperlink"/>
            <w:rFonts w:asciiTheme="majorHAnsi" w:hAnsiTheme="majorHAnsi" w:cstheme="majorHAnsi"/>
            <w:sz w:val="24"/>
            <w:szCs w:val="24"/>
          </w:rPr>
          <w:t>https://www.flyeye.io/drone-acronym-eo-ir/</w:t>
        </w:r>
      </w:hyperlink>
      <w:r>
        <w:rPr>
          <w:rFonts w:asciiTheme="majorHAnsi" w:hAnsiTheme="majorHAnsi" w:cstheme="majorHAnsi"/>
          <w:sz w:val="24"/>
          <w:szCs w:val="24"/>
        </w:rPr>
        <w:t xml:space="preserve">). </w:t>
      </w:r>
      <w:r w:rsidRPr="00B0265D">
        <w:rPr>
          <w:rFonts w:asciiTheme="majorHAnsi" w:hAnsiTheme="majorHAnsi" w:cstheme="majorHAnsi"/>
          <w:sz w:val="24"/>
          <w:szCs w:val="24"/>
        </w:rPr>
        <w:t xml:space="preserve">But designing EO/IR systems involves challenges: the atmosphere can attenuate or distort signals (especially in infrared), sensors must often balance size, weight, and power (SWaP), and </w:t>
      </w:r>
      <w:r w:rsidRPr="00B0265D">
        <w:rPr>
          <w:rFonts w:asciiTheme="majorHAnsi" w:hAnsiTheme="majorHAnsi" w:cstheme="majorHAnsi"/>
          <w:sz w:val="24"/>
          <w:szCs w:val="24"/>
        </w:rPr>
        <w:lastRenderedPageBreak/>
        <w:t>processing or fusing data in real time is computationally demanding. (</w:t>
      </w:r>
      <w:hyperlink r:id="rId14" w:history="1">
        <w:r w:rsidR="0075437B" w:rsidRPr="005A38E2">
          <w:rPr>
            <w:rStyle w:val="Hyperlink"/>
            <w:rFonts w:asciiTheme="majorHAnsi" w:hAnsiTheme="majorHAnsi" w:cstheme="majorHAnsi"/>
            <w:sz w:val="24"/>
            <w:szCs w:val="24"/>
          </w:rPr>
          <w:t>https://www.ansys.com/blog/ansys-solution-overview-electro-optic</w:t>
        </w:r>
      </w:hyperlink>
      <w:r w:rsidRPr="00B0265D">
        <w:rPr>
          <w:rFonts w:asciiTheme="majorHAnsi" w:hAnsiTheme="majorHAnsi" w:cstheme="majorHAnsi"/>
          <w:sz w:val="24"/>
          <w:szCs w:val="24"/>
        </w:rPr>
        <w:t>)</w:t>
      </w:r>
      <w:r w:rsidR="0075437B">
        <w:rPr>
          <w:rFonts w:asciiTheme="majorHAnsi" w:hAnsiTheme="majorHAnsi" w:cstheme="majorHAnsi"/>
          <w:sz w:val="24"/>
          <w:szCs w:val="24"/>
        </w:rPr>
        <w:t xml:space="preserve">. </w:t>
      </w:r>
      <w:r>
        <w:rPr>
          <w:rFonts w:asciiTheme="majorHAnsi" w:hAnsiTheme="majorHAnsi" w:cstheme="majorHAnsi"/>
          <w:sz w:val="24"/>
          <w:szCs w:val="24"/>
        </w:rPr>
        <w:t xml:space="preserve">These are </w:t>
      </w:r>
      <w:r w:rsidR="0075437B">
        <w:rPr>
          <w:rFonts w:asciiTheme="majorHAnsi" w:hAnsiTheme="majorHAnsi" w:cstheme="majorHAnsi"/>
          <w:sz w:val="24"/>
          <w:szCs w:val="24"/>
        </w:rPr>
        <w:t xml:space="preserve">the six different steps in the research and development of infrared focal plane arrays. </w:t>
      </w:r>
    </w:p>
    <w:p w14:paraId="2063DA4C" w14:textId="084035E9" w:rsidR="0075437B" w:rsidRDefault="00E36437" w:rsidP="00E36437">
      <w:pPr>
        <w:rPr>
          <w:rFonts w:asciiTheme="majorHAnsi" w:hAnsiTheme="majorHAnsi" w:cstheme="majorHAnsi"/>
          <w:sz w:val="24"/>
          <w:szCs w:val="24"/>
        </w:rPr>
      </w:pPr>
      <w:r w:rsidRPr="0075437B">
        <w:rPr>
          <w:rFonts w:asciiTheme="majorHAnsi" w:hAnsiTheme="majorHAnsi" w:cstheme="majorHAnsi"/>
          <w:noProof/>
          <w:sz w:val="24"/>
          <w:szCs w:val="24"/>
        </w:rPr>
        <w:drawing>
          <wp:anchor distT="0" distB="0" distL="114300" distR="114300" simplePos="0" relativeHeight="251659264" behindDoc="0" locked="0" layoutInCell="1" allowOverlap="1" wp14:anchorId="6897D287" wp14:editId="3CA5E715">
            <wp:simplePos x="0" y="0"/>
            <wp:positionH relativeFrom="margin">
              <wp:align>right</wp:align>
            </wp:positionH>
            <wp:positionV relativeFrom="paragraph">
              <wp:posOffset>7620</wp:posOffset>
            </wp:positionV>
            <wp:extent cx="5486400" cy="1129665"/>
            <wp:effectExtent l="0" t="0" r="0" b="0"/>
            <wp:wrapNone/>
            <wp:docPr id="5" name="Picture 4" descr="The six steps in the research and development of infrared focal plane arrays, in order: modeling and simulation, epitaxial growth, materials characterization, device fabrication, testing and measurement, and analysis and feedback.">
              <a:extLst xmlns:a="http://schemas.openxmlformats.org/drawingml/2006/main">
                <a:ext uri="{FF2B5EF4-FFF2-40B4-BE49-F238E27FC236}">
                  <a16:creationId xmlns:a16="http://schemas.microsoft.com/office/drawing/2014/main" id="{8900F732-FA67-F324-5D7D-BF2CBB47D4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e six steps in the research and development of infrared focal plane arrays, in order: modeling and simulation, epitaxial growth, materials characterization, device fabrication, testing and measurement, and analysis and feedback.">
                      <a:extLst>
                        <a:ext uri="{FF2B5EF4-FFF2-40B4-BE49-F238E27FC236}">
                          <a16:creationId xmlns:a16="http://schemas.microsoft.com/office/drawing/2014/main" id="{8900F732-FA67-F324-5D7D-BF2CBB47D41E}"/>
                        </a:ext>
                      </a:extLst>
                    </pic:cNvPr>
                    <pic:cNvPicPr>
                      <a:picLocks noChangeAspect="1"/>
                    </pic:cNvPicPr>
                  </pic:nvPicPr>
                  <pic:blipFill rotWithShape="1">
                    <a:blip r:embed="rId15"/>
                    <a:srcRect l="7387" t="45266" r="2072" b="30668"/>
                    <a:stretch/>
                  </pic:blipFill>
                  <pic:spPr>
                    <a:xfrm>
                      <a:off x="0" y="0"/>
                      <a:ext cx="5486400" cy="1129665"/>
                    </a:xfrm>
                    <a:prstGeom prst="rect">
                      <a:avLst/>
                    </a:prstGeom>
                  </pic:spPr>
                </pic:pic>
              </a:graphicData>
            </a:graphic>
            <wp14:sizeRelH relativeFrom="page">
              <wp14:pctWidth>0</wp14:pctWidth>
            </wp14:sizeRelH>
            <wp14:sizeRelV relativeFrom="page">
              <wp14:pctHeight>0</wp14:pctHeight>
            </wp14:sizeRelV>
          </wp:anchor>
        </w:drawing>
      </w:r>
    </w:p>
    <w:p w14:paraId="750C472D" w14:textId="261ED78E" w:rsidR="00E36437" w:rsidRDefault="00E36437" w:rsidP="00E36437">
      <w:pPr>
        <w:rPr>
          <w:rFonts w:asciiTheme="majorHAnsi" w:hAnsiTheme="majorHAnsi" w:cstheme="majorHAnsi"/>
          <w:sz w:val="24"/>
          <w:szCs w:val="24"/>
        </w:rPr>
      </w:pPr>
    </w:p>
    <w:p w14:paraId="4BE7A221" w14:textId="1821E7FE" w:rsidR="00E36437" w:rsidRDefault="00E36437" w:rsidP="00E36437">
      <w:pPr>
        <w:rPr>
          <w:rFonts w:asciiTheme="majorHAnsi" w:hAnsiTheme="majorHAnsi" w:cstheme="majorHAnsi"/>
          <w:sz w:val="24"/>
          <w:szCs w:val="24"/>
        </w:rPr>
      </w:pPr>
    </w:p>
    <w:p w14:paraId="0F573B04" w14:textId="42120D1D" w:rsidR="00E36437" w:rsidRDefault="00E36437" w:rsidP="00E36437">
      <w:pPr>
        <w:rPr>
          <w:rFonts w:asciiTheme="majorHAnsi" w:hAnsiTheme="majorHAnsi" w:cstheme="majorHAnsi"/>
          <w:sz w:val="24"/>
          <w:szCs w:val="24"/>
        </w:rPr>
      </w:pPr>
    </w:p>
    <w:p w14:paraId="5B01C71A" w14:textId="55A43259" w:rsidR="00E36437" w:rsidRPr="00B0265D" w:rsidRDefault="00E36437" w:rsidP="00E36437">
      <w:pPr>
        <w:rPr>
          <w:rFonts w:asciiTheme="majorHAnsi" w:hAnsiTheme="majorHAnsi" w:cstheme="majorHAnsi"/>
          <w:sz w:val="24"/>
          <w:szCs w:val="24"/>
        </w:rPr>
      </w:pPr>
    </w:p>
    <w:p w14:paraId="1FA4FB01" w14:textId="11645BE2" w:rsidR="0058561A" w:rsidRPr="00B0265D" w:rsidRDefault="00000000" w:rsidP="00E36437">
      <w:pPr>
        <w:pStyle w:val="Heading2"/>
        <w:rPr>
          <w:rFonts w:cstheme="majorHAnsi"/>
          <w:color w:val="auto"/>
          <w:sz w:val="24"/>
          <w:szCs w:val="24"/>
        </w:rPr>
      </w:pPr>
      <w:r w:rsidRPr="00B0265D">
        <w:rPr>
          <w:rFonts w:cstheme="majorHAnsi"/>
          <w:color w:val="auto"/>
          <w:sz w:val="24"/>
          <w:szCs w:val="24"/>
        </w:rPr>
        <w:t>Recommended Resources</w:t>
      </w:r>
    </w:p>
    <w:p w14:paraId="6D11F189" w14:textId="748A5ED1" w:rsidR="00B0265D" w:rsidRDefault="00F368B4" w:rsidP="00E36437">
      <w:pPr>
        <w:pStyle w:val="ListParagraph"/>
        <w:numPr>
          <w:ilvl w:val="0"/>
          <w:numId w:val="10"/>
        </w:numPr>
        <w:rPr>
          <w:rFonts w:asciiTheme="majorHAnsi" w:hAnsiTheme="majorHAnsi" w:cstheme="majorHAnsi"/>
          <w:sz w:val="24"/>
          <w:szCs w:val="24"/>
        </w:rPr>
      </w:pPr>
      <w:r>
        <w:rPr>
          <w:rFonts w:asciiTheme="majorHAnsi" w:hAnsiTheme="majorHAnsi" w:cstheme="majorHAnsi"/>
          <w:sz w:val="24"/>
          <w:szCs w:val="24"/>
        </w:rPr>
        <w:t xml:space="preserve">Nice overview of infrared by NASA </w:t>
      </w:r>
      <w:hyperlink r:id="rId16" w:history="1">
        <w:r w:rsidR="00E36437" w:rsidRPr="00094CB9">
          <w:rPr>
            <w:rStyle w:val="Hyperlink"/>
            <w:rFonts w:asciiTheme="majorHAnsi" w:hAnsiTheme="majorHAnsi" w:cstheme="majorHAnsi"/>
            <w:sz w:val="24"/>
            <w:szCs w:val="24"/>
          </w:rPr>
          <w:t>https://science.nasa.gov/ems/07_infraredwaves/</w:t>
        </w:r>
      </w:hyperlink>
      <w:r w:rsidR="00E36437">
        <w:rPr>
          <w:rFonts w:asciiTheme="majorHAnsi" w:hAnsiTheme="majorHAnsi" w:cstheme="majorHAnsi"/>
          <w:sz w:val="24"/>
          <w:szCs w:val="24"/>
        </w:rPr>
        <w:t xml:space="preserve"> </w:t>
      </w:r>
    </w:p>
    <w:p w14:paraId="173E2A69" w14:textId="7F8E49BE" w:rsidR="0058561A" w:rsidRPr="00B0265D" w:rsidRDefault="00000000" w:rsidP="00E36437">
      <w:pPr>
        <w:pStyle w:val="ListParagraph"/>
        <w:numPr>
          <w:ilvl w:val="0"/>
          <w:numId w:val="10"/>
        </w:numPr>
        <w:rPr>
          <w:rFonts w:asciiTheme="majorHAnsi" w:hAnsiTheme="majorHAnsi" w:cstheme="majorHAnsi"/>
          <w:sz w:val="24"/>
          <w:szCs w:val="24"/>
        </w:rPr>
      </w:pPr>
      <w:r w:rsidRPr="00B0265D">
        <w:rPr>
          <w:rFonts w:asciiTheme="majorHAnsi" w:hAnsiTheme="majorHAnsi" w:cstheme="majorHAnsi"/>
          <w:sz w:val="24"/>
          <w:szCs w:val="24"/>
        </w:rPr>
        <w:t>What is Imaging System Design and Analysis? (YouTube)</w:t>
      </w:r>
      <w:r w:rsidRPr="00B0265D">
        <w:rPr>
          <w:rFonts w:asciiTheme="majorHAnsi" w:hAnsiTheme="majorHAnsi" w:cstheme="majorHAnsi"/>
          <w:sz w:val="24"/>
          <w:szCs w:val="24"/>
        </w:rPr>
        <w:br/>
      </w:r>
      <w:hyperlink r:id="rId17" w:history="1">
        <w:r w:rsidR="00E36437" w:rsidRPr="00094CB9">
          <w:rPr>
            <w:rStyle w:val="Hyperlink"/>
            <w:rFonts w:asciiTheme="majorHAnsi" w:hAnsiTheme="majorHAnsi" w:cstheme="majorHAnsi"/>
            <w:sz w:val="24"/>
            <w:szCs w:val="24"/>
          </w:rPr>
          <w:t>https://www.youtube.com/watch?v=ls_H5neDNBc</w:t>
        </w:r>
      </w:hyperlink>
      <w:r w:rsidR="00E36437">
        <w:rPr>
          <w:rFonts w:asciiTheme="majorHAnsi" w:hAnsiTheme="majorHAnsi" w:cstheme="majorHAnsi"/>
          <w:sz w:val="24"/>
          <w:szCs w:val="24"/>
        </w:rPr>
        <w:t xml:space="preserve"> </w:t>
      </w:r>
    </w:p>
    <w:p w14:paraId="50BF659C" w14:textId="5298DE75" w:rsidR="00C47F24" w:rsidRDefault="00000000" w:rsidP="00E36437">
      <w:pPr>
        <w:pStyle w:val="ListParagraph"/>
        <w:numPr>
          <w:ilvl w:val="0"/>
          <w:numId w:val="10"/>
        </w:numPr>
        <w:rPr>
          <w:rFonts w:asciiTheme="majorHAnsi" w:hAnsiTheme="majorHAnsi" w:cstheme="majorHAnsi"/>
          <w:sz w:val="24"/>
          <w:szCs w:val="24"/>
        </w:rPr>
      </w:pPr>
      <w:r w:rsidRPr="00B0265D">
        <w:rPr>
          <w:rFonts w:asciiTheme="majorHAnsi" w:hAnsiTheme="majorHAnsi" w:cstheme="majorHAnsi"/>
          <w:sz w:val="24"/>
          <w:szCs w:val="24"/>
        </w:rPr>
        <w:t>Current Electro</w:t>
      </w:r>
      <w:r w:rsidRPr="00B0265D">
        <w:rPr>
          <w:rFonts w:ascii="Cambria Math" w:hAnsi="Cambria Math" w:cs="Cambria Math"/>
          <w:sz w:val="24"/>
          <w:szCs w:val="24"/>
        </w:rPr>
        <w:t>‑</w:t>
      </w:r>
      <w:r w:rsidRPr="00B0265D">
        <w:rPr>
          <w:rFonts w:asciiTheme="majorHAnsi" w:hAnsiTheme="majorHAnsi" w:cstheme="majorHAnsi"/>
          <w:sz w:val="24"/>
          <w:szCs w:val="24"/>
        </w:rPr>
        <w:t>Optical Infrared Sensors Overview (YouTube)</w:t>
      </w:r>
      <w:r w:rsidRPr="00B0265D">
        <w:rPr>
          <w:rFonts w:asciiTheme="majorHAnsi" w:hAnsiTheme="majorHAnsi" w:cstheme="majorHAnsi"/>
          <w:sz w:val="24"/>
          <w:szCs w:val="24"/>
        </w:rPr>
        <w:br/>
      </w:r>
      <w:hyperlink r:id="rId18" w:history="1">
        <w:r w:rsidR="00B0265D" w:rsidRPr="00B0265D">
          <w:rPr>
            <w:rStyle w:val="Hyperlink"/>
            <w:rFonts w:asciiTheme="majorHAnsi" w:hAnsiTheme="majorHAnsi" w:cstheme="majorHAnsi"/>
            <w:sz w:val="24"/>
            <w:szCs w:val="24"/>
          </w:rPr>
          <w:t>https://www.youtube.com/watch?v=-PAO0M74hWY</w:t>
        </w:r>
      </w:hyperlink>
    </w:p>
    <w:p w14:paraId="46EDB7D7" w14:textId="402D0A7F" w:rsidR="0058561A" w:rsidRPr="00E36437" w:rsidRDefault="00C47F24" w:rsidP="00E36437">
      <w:pPr>
        <w:pStyle w:val="ListParagraph"/>
        <w:numPr>
          <w:ilvl w:val="0"/>
          <w:numId w:val="10"/>
        </w:numPr>
        <w:rPr>
          <w:rFonts w:asciiTheme="majorHAnsi" w:hAnsiTheme="majorHAnsi" w:cstheme="majorHAnsi"/>
          <w:sz w:val="24"/>
          <w:szCs w:val="24"/>
        </w:rPr>
      </w:pPr>
      <w:r w:rsidRPr="00E36437">
        <w:rPr>
          <w:rFonts w:asciiTheme="majorHAnsi" w:hAnsiTheme="majorHAnsi" w:cstheme="majorHAnsi"/>
          <w:sz w:val="24"/>
          <w:szCs w:val="24"/>
        </w:rPr>
        <w:t>How might vision goggles work (You</w:t>
      </w:r>
      <w:r w:rsidR="003B1471" w:rsidRPr="00E36437">
        <w:rPr>
          <w:rFonts w:asciiTheme="majorHAnsi" w:hAnsiTheme="majorHAnsi" w:cstheme="majorHAnsi"/>
          <w:sz w:val="24"/>
          <w:szCs w:val="24"/>
        </w:rPr>
        <w:t>T</w:t>
      </w:r>
      <w:r w:rsidRPr="00E36437">
        <w:rPr>
          <w:rFonts w:asciiTheme="majorHAnsi" w:hAnsiTheme="majorHAnsi" w:cstheme="majorHAnsi"/>
          <w:sz w:val="24"/>
          <w:szCs w:val="24"/>
        </w:rPr>
        <w:t xml:space="preserve">ube) </w:t>
      </w:r>
      <w:r w:rsidRPr="00E36437">
        <w:rPr>
          <w:rFonts w:asciiTheme="majorHAnsi" w:hAnsiTheme="majorHAnsi" w:cstheme="majorHAnsi"/>
          <w:sz w:val="24"/>
          <w:szCs w:val="24"/>
        </w:rPr>
        <w:br/>
      </w:r>
      <w:hyperlink r:id="rId19" w:history="1">
        <w:r w:rsidR="003B1471" w:rsidRPr="00E36437">
          <w:rPr>
            <w:rStyle w:val="Hyperlink"/>
            <w:rFonts w:asciiTheme="majorHAnsi" w:hAnsiTheme="majorHAnsi" w:cstheme="majorHAnsi"/>
            <w:sz w:val="24"/>
            <w:szCs w:val="24"/>
          </w:rPr>
          <w:t>https://youtu.be/UAeJHAFjwPM</w:t>
        </w:r>
      </w:hyperlink>
    </w:p>
    <w:p w14:paraId="28B287B4" w14:textId="7FF1DF38" w:rsidR="0058561A" w:rsidRPr="00B0265D" w:rsidRDefault="00000000" w:rsidP="00E36437">
      <w:pPr>
        <w:pStyle w:val="ListParagraph"/>
        <w:numPr>
          <w:ilvl w:val="0"/>
          <w:numId w:val="10"/>
        </w:numPr>
        <w:rPr>
          <w:rFonts w:asciiTheme="majorHAnsi" w:hAnsiTheme="majorHAnsi" w:cstheme="majorHAnsi"/>
          <w:sz w:val="24"/>
          <w:szCs w:val="24"/>
        </w:rPr>
      </w:pPr>
      <w:r w:rsidRPr="00B0265D">
        <w:rPr>
          <w:rFonts w:asciiTheme="majorHAnsi" w:hAnsiTheme="majorHAnsi" w:cstheme="majorHAnsi"/>
          <w:sz w:val="24"/>
          <w:szCs w:val="24"/>
        </w:rPr>
        <w:t>A Tutorial on Electro</w:t>
      </w:r>
      <w:r w:rsidRPr="00B0265D">
        <w:rPr>
          <w:rFonts w:ascii="Cambria Math" w:hAnsi="Cambria Math" w:cs="Cambria Math"/>
          <w:sz w:val="24"/>
          <w:szCs w:val="24"/>
        </w:rPr>
        <w:t>‑</w:t>
      </w:r>
      <w:r w:rsidRPr="00B0265D">
        <w:rPr>
          <w:rFonts w:asciiTheme="majorHAnsi" w:hAnsiTheme="majorHAnsi" w:cstheme="majorHAnsi"/>
          <w:sz w:val="24"/>
          <w:szCs w:val="24"/>
        </w:rPr>
        <w:t>Optical/Infrared (EO/IR) Theory and Systems (IDA)</w:t>
      </w:r>
      <w:r w:rsidRPr="00B0265D">
        <w:rPr>
          <w:rFonts w:asciiTheme="majorHAnsi" w:hAnsiTheme="majorHAnsi" w:cstheme="majorHAnsi"/>
          <w:sz w:val="24"/>
          <w:szCs w:val="24"/>
        </w:rPr>
        <w:br/>
      </w:r>
      <w:hyperlink r:id="rId20" w:history="1">
        <w:r w:rsidR="00E36437" w:rsidRPr="00094CB9">
          <w:rPr>
            <w:rStyle w:val="Hyperlink"/>
            <w:rFonts w:asciiTheme="majorHAnsi" w:hAnsiTheme="majorHAnsi" w:cstheme="majorHAnsi"/>
            <w:sz w:val="24"/>
            <w:szCs w:val="24"/>
          </w:rPr>
          <w:t>https://www.ida.org/-/media/feature/publications/a/at/a-tutorial-on-e-lectro--opticalinfrared-eoir-theory-and-systems/ida-document-d-4642.ashx</w:t>
        </w:r>
      </w:hyperlink>
      <w:r w:rsidR="00E36437">
        <w:rPr>
          <w:rFonts w:asciiTheme="majorHAnsi" w:hAnsiTheme="majorHAnsi" w:cstheme="majorHAnsi"/>
          <w:sz w:val="24"/>
          <w:szCs w:val="24"/>
        </w:rPr>
        <w:t xml:space="preserve"> </w:t>
      </w:r>
    </w:p>
    <w:p w14:paraId="640CBAA3" w14:textId="171EF4A0" w:rsidR="0058561A" w:rsidRDefault="00000000" w:rsidP="00E36437">
      <w:pPr>
        <w:pStyle w:val="ListParagraph"/>
        <w:numPr>
          <w:ilvl w:val="0"/>
          <w:numId w:val="10"/>
        </w:numPr>
        <w:rPr>
          <w:rFonts w:asciiTheme="majorHAnsi" w:hAnsiTheme="majorHAnsi" w:cstheme="majorHAnsi"/>
          <w:sz w:val="24"/>
          <w:szCs w:val="24"/>
        </w:rPr>
      </w:pPr>
      <w:r w:rsidRPr="00B0265D">
        <w:rPr>
          <w:rFonts w:asciiTheme="majorHAnsi" w:hAnsiTheme="majorHAnsi" w:cstheme="majorHAnsi"/>
          <w:sz w:val="24"/>
          <w:szCs w:val="24"/>
        </w:rPr>
        <w:t>What Is EO?/IR? (Teledyne FLIR)</w:t>
      </w:r>
      <w:r w:rsidRPr="00B0265D">
        <w:rPr>
          <w:rFonts w:asciiTheme="majorHAnsi" w:hAnsiTheme="majorHAnsi" w:cstheme="majorHAnsi"/>
          <w:sz w:val="24"/>
          <w:szCs w:val="24"/>
        </w:rPr>
        <w:br/>
      </w:r>
      <w:hyperlink r:id="rId21" w:history="1">
        <w:r w:rsidR="00B0265D" w:rsidRPr="00B0265D">
          <w:rPr>
            <w:rStyle w:val="Hyperlink"/>
            <w:rFonts w:asciiTheme="majorHAnsi" w:hAnsiTheme="majorHAnsi" w:cstheme="majorHAnsi"/>
            <w:sz w:val="24"/>
            <w:szCs w:val="24"/>
          </w:rPr>
          <w:t>https://www.flir.com/discover/rd-science/what-is-eoir/</w:t>
        </w:r>
      </w:hyperlink>
    </w:p>
    <w:p w14:paraId="048DAF8A" w14:textId="77777777" w:rsidR="00E36437" w:rsidRPr="00E36437" w:rsidRDefault="00F368B4" w:rsidP="00E36437">
      <w:pPr>
        <w:pStyle w:val="ListParagraph"/>
        <w:numPr>
          <w:ilvl w:val="0"/>
          <w:numId w:val="10"/>
        </w:numPr>
        <w:rPr>
          <w:rFonts w:asciiTheme="majorHAnsi" w:hAnsiTheme="majorHAnsi" w:cstheme="majorHAnsi"/>
          <w:sz w:val="24"/>
          <w:szCs w:val="24"/>
        </w:rPr>
      </w:pPr>
      <w:r w:rsidRPr="00E36437">
        <w:rPr>
          <w:rFonts w:asciiTheme="majorHAnsi" w:hAnsiTheme="majorHAnsi" w:cstheme="majorHAnsi"/>
          <w:sz w:val="24"/>
          <w:szCs w:val="24"/>
        </w:rPr>
        <w:t>A little more technical depth</w:t>
      </w:r>
    </w:p>
    <w:p w14:paraId="1FD8028B" w14:textId="307A06FF" w:rsidR="0075437B" w:rsidRPr="00441A59" w:rsidRDefault="00E36437" w:rsidP="00E36437">
      <w:pPr>
        <w:pStyle w:val="ListParagraph"/>
        <w:rPr>
          <w:rFonts w:asciiTheme="majorHAnsi" w:hAnsiTheme="majorHAnsi" w:cstheme="majorHAnsi"/>
          <w:sz w:val="24"/>
          <w:szCs w:val="24"/>
          <w:highlight w:val="yellow"/>
        </w:rPr>
      </w:pPr>
      <w:hyperlink r:id="rId22" w:history="1">
        <w:r w:rsidRPr="00094CB9">
          <w:rPr>
            <w:rStyle w:val="Hyperlink"/>
            <w:rFonts w:asciiTheme="majorHAnsi" w:hAnsiTheme="majorHAnsi" w:cstheme="majorHAnsi"/>
            <w:sz w:val="24"/>
            <w:szCs w:val="24"/>
          </w:rPr>
          <w:t>https://www.opto-e.com/en/basics/ir-optics</w:t>
        </w:r>
      </w:hyperlink>
      <w:r>
        <w:rPr>
          <w:rFonts w:asciiTheme="majorHAnsi" w:hAnsiTheme="majorHAnsi" w:cstheme="majorHAnsi"/>
          <w:sz w:val="24"/>
          <w:szCs w:val="24"/>
        </w:rPr>
        <w:t xml:space="preserve"> </w:t>
      </w:r>
      <w:r w:rsidR="00F368B4" w:rsidRPr="00441A59">
        <w:rPr>
          <w:rFonts w:asciiTheme="majorHAnsi" w:hAnsiTheme="majorHAnsi" w:cstheme="majorHAnsi"/>
          <w:sz w:val="24"/>
          <w:szCs w:val="24"/>
          <w:highlight w:val="yellow"/>
        </w:rPr>
        <w:t xml:space="preserve"> </w:t>
      </w:r>
    </w:p>
    <w:p w14:paraId="21AB038D" w14:textId="79E15D39" w:rsidR="00B0265D" w:rsidRPr="00B0265D" w:rsidRDefault="0075437B" w:rsidP="00E36437">
      <w:pPr>
        <w:rPr>
          <w:rFonts w:asciiTheme="majorHAnsi" w:hAnsiTheme="majorHAnsi" w:cstheme="majorHAnsi"/>
          <w:sz w:val="24"/>
          <w:szCs w:val="24"/>
        </w:rPr>
      </w:pPr>
      <w:r w:rsidRPr="0075437B">
        <w:rPr>
          <w:rFonts w:asciiTheme="majorHAnsi" w:hAnsiTheme="majorHAnsi" w:cstheme="majorHAnsi"/>
          <w:sz w:val="24"/>
          <w:szCs w:val="24"/>
        </w:rPr>
        <w:t xml:space="preserve">The </w:t>
      </w:r>
      <w:r w:rsidRPr="0075437B">
        <w:rPr>
          <w:rFonts w:asciiTheme="majorHAnsi" w:hAnsiTheme="majorHAnsi" w:cstheme="majorHAnsi"/>
          <w:b/>
          <w:bCs/>
          <w:sz w:val="24"/>
          <w:szCs w:val="24"/>
        </w:rPr>
        <w:t>Midwest Microelectronics Consortium (MMEC)</w:t>
      </w:r>
      <w:r w:rsidRPr="0075437B">
        <w:rPr>
          <w:rFonts w:asciiTheme="majorHAnsi" w:hAnsiTheme="majorHAnsi" w:cstheme="majorHAnsi"/>
          <w:sz w:val="24"/>
          <w:szCs w:val="24"/>
        </w:rPr>
        <w:t xml:space="preserve"> is a public–private, nonprofit organization that convenes industry, academia, and government partners in the U.S. Midwest to drive innovation in microelectronics. For undergraduate students, MMEC offers opportunities to engage with cutting-edge research, access shared facilities, and collaborate across sectors. It helps bridge the “lab-to-fab” gap, enabling student projects to move from proof-of-concept to prototyping within a real ecosystem. </w:t>
      </w:r>
      <w:r w:rsidRPr="0075437B">
        <w:rPr>
          <w:rFonts w:asciiTheme="majorHAnsi" w:hAnsiTheme="majorHAnsi" w:cstheme="majorHAnsi"/>
          <w:sz w:val="24"/>
          <w:szCs w:val="24"/>
        </w:rPr>
        <w:br/>
        <w:t>Additionally, because MMEC is part of the national Microelectronics Commons network, involvement can connect students to a broader community and funding resources.</w:t>
      </w:r>
    </w:p>
    <w:sectPr w:rsidR="00B0265D" w:rsidRPr="00B0265D" w:rsidSect="00034616">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6917D" w14:textId="77777777" w:rsidR="001870EC" w:rsidRDefault="001870EC" w:rsidP="00E36437">
      <w:pPr>
        <w:spacing w:after="0" w:line="240" w:lineRule="auto"/>
      </w:pPr>
      <w:r>
        <w:separator/>
      </w:r>
    </w:p>
  </w:endnote>
  <w:endnote w:type="continuationSeparator" w:id="0">
    <w:p w14:paraId="78C34B1F" w14:textId="77777777" w:rsidR="001870EC" w:rsidRDefault="001870EC" w:rsidP="00E36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cstheme="majorHAnsi"/>
      </w:rPr>
      <w:id w:val="910659818"/>
      <w:docPartObj>
        <w:docPartGallery w:val="Page Numbers (Bottom of Page)"/>
        <w:docPartUnique/>
      </w:docPartObj>
    </w:sdtPr>
    <w:sdtContent>
      <w:sdt>
        <w:sdtPr>
          <w:rPr>
            <w:rFonts w:asciiTheme="majorHAnsi" w:hAnsiTheme="majorHAnsi" w:cstheme="majorHAnsi"/>
          </w:rPr>
          <w:id w:val="-1769616900"/>
          <w:docPartObj>
            <w:docPartGallery w:val="Page Numbers (Top of Page)"/>
            <w:docPartUnique/>
          </w:docPartObj>
        </w:sdtPr>
        <w:sdtContent>
          <w:p w14:paraId="29D564C5" w14:textId="3AA88F4C" w:rsidR="00E36437" w:rsidRPr="00E36437" w:rsidRDefault="00E36437">
            <w:pPr>
              <w:pStyle w:val="Footer"/>
              <w:jc w:val="right"/>
              <w:rPr>
                <w:rFonts w:asciiTheme="majorHAnsi" w:hAnsiTheme="majorHAnsi" w:cstheme="majorHAnsi"/>
              </w:rPr>
            </w:pPr>
            <w:r w:rsidRPr="00E36437">
              <w:rPr>
                <w:rFonts w:asciiTheme="majorHAnsi" w:hAnsiTheme="majorHAnsi" w:cstheme="majorHAnsi"/>
              </w:rPr>
              <w:t xml:space="preserve">Page </w:t>
            </w:r>
            <w:r w:rsidRPr="00E36437">
              <w:rPr>
                <w:rFonts w:asciiTheme="majorHAnsi" w:hAnsiTheme="majorHAnsi" w:cstheme="majorHAnsi"/>
                <w:b/>
                <w:bCs/>
                <w:sz w:val="24"/>
                <w:szCs w:val="24"/>
              </w:rPr>
              <w:fldChar w:fldCharType="begin"/>
            </w:r>
            <w:r w:rsidRPr="00E36437">
              <w:rPr>
                <w:rFonts w:asciiTheme="majorHAnsi" w:hAnsiTheme="majorHAnsi" w:cstheme="majorHAnsi"/>
                <w:b/>
                <w:bCs/>
              </w:rPr>
              <w:instrText xml:space="preserve"> PAGE </w:instrText>
            </w:r>
            <w:r w:rsidRPr="00E36437">
              <w:rPr>
                <w:rFonts w:asciiTheme="majorHAnsi" w:hAnsiTheme="majorHAnsi" w:cstheme="majorHAnsi"/>
                <w:b/>
                <w:bCs/>
                <w:sz w:val="24"/>
                <w:szCs w:val="24"/>
              </w:rPr>
              <w:fldChar w:fldCharType="separate"/>
            </w:r>
            <w:r w:rsidRPr="00E36437">
              <w:rPr>
                <w:rFonts w:asciiTheme="majorHAnsi" w:hAnsiTheme="majorHAnsi" w:cstheme="majorHAnsi"/>
                <w:b/>
                <w:bCs/>
                <w:noProof/>
              </w:rPr>
              <w:t>2</w:t>
            </w:r>
            <w:r w:rsidRPr="00E36437">
              <w:rPr>
                <w:rFonts w:asciiTheme="majorHAnsi" w:hAnsiTheme="majorHAnsi" w:cstheme="majorHAnsi"/>
                <w:b/>
                <w:bCs/>
                <w:sz w:val="24"/>
                <w:szCs w:val="24"/>
              </w:rPr>
              <w:fldChar w:fldCharType="end"/>
            </w:r>
            <w:r w:rsidRPr="00E36437">
              <w:rPr>
                <w:rFonts w:asciiTheme="majorHAnsi" w:hAnsiTheme="majorHAnsi" w:cstheme="majorHAnsi"/>
              </w:rPr>
              <w:t xml:space="preserve"> of </w:t>
            </w:r>
            <w:r w:rsidRPr="00E36437">
              <w:rPr>
                <w:rFonts w:asciiTheme="majorHAnsi" w:hAnsiTheme="majorHAnsi" w:cstheme="majorHAnsi"/>
                <w:b/>
                <w:bCs/>
                <w:sz w:val="24"/>
                <w:szCs w:val="24"/>
              </w:rPr>
              <w:fldChar w:fldCharType="begin"/>
            </w:r>
            <w:r w:rsidRPr="00E36437">
              <w:rPr>
                <w:rFonts w:asciiTheme="majorHAnsi" w:hAnsiTheme="majorHAnsi" w:cstheme="majorHAnsi"/>
                <w:b/>
                <w:bCs/>
              </w:rPr>
              <w:instrText xml:space="preserve"> NUMPAGES  </w:instrText>
            </w:r>
            <w:r w:rsidRPr="00E36437">
              <w:rPr>
                <w:rFonts w:asciiTheme="majorHAnsi" w:hAnsiTheme="majorHAnsi" w:cstheme="majorHAnsi"/>
                <w:b/>
                <w:bCs/>
                <w:sz w:val="24"/>
                <w:szCs w:val="24"/>
              </w:rPr>
              <w:fldChar w:fldCharType="separate"/>
            </w:r>
            <w:r w:rsidRPr="00E36437">
              <w:rPr>
                <w:rFonts w:asciiTheme="majorHAnsi" w:hAnsiTheme="majorHAnsi" w:cstheme="majorHAnsi"/>
                <w:b/>
                <w:bCs/>
                <w:noProof/>
              </w:rPr>
              <w:t>2</w:t>
            </w:r>
            <w:r w:rsidRPr="00E36437">
              <w:rPr>
                <w:rFonts w:asciiTheme="majorHAnsi" w:hAnsiTheme="majorHAnsi" w:cstheme="majorHAnsi"/>
                <w:b/>
                <w:bCs/>
                <w:sz w:val="24"/>
                <w:szCs w:val="24"/>
              </w:rPr>
              <w:fldChar w:fldCharType="end"/>
            </w:r>
          </w:p>
        </w:sdtContent>
      </w:sdt>
    </w:sdtContent>
  </w:sdt>
  <w:p w14:paraId="43088F41" w14:textId="77777777" w:rsidR="00E36437" w:rsidRDefault="00E36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996AD" w14:textId="77777777" w:rsidR="001870EC" w:rsidRDefault="001870EC" w:rsidP="00E36437">
      <w:pPr>
        <w:spacing w:after="0" w:line="240" w:lineRule="auto"/>
      </w:pPr>
      <w:r>
        <w:separator/>
      </w:r>
    </w:p>
  </w:footnote>
  <w:footnote w:type="continuationSeparator" w:id="0">
    <w:p w14:paraId="277B3DC7" w14:textId="77777777" w:rsidR="001870EC" w:rsidRDefault="001870EC" w:rsidP="00E36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D947521"/>
    <w:multiLevelType w:val="hybridMultilevel"/>
    <w:tmpl w:val="88AA4B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9078042">
    <w:abstractNumId w:val="8"/>
  </w:num>
  <w:num w:numId="2" w16cid:durableId="727386248">
    <w:abstractNumId w:val="6"/>
  </w:num>
  <w:num w:numId="3" w16cid:durableId="2147316487">
    <w:abstractNumId w:val="5"/>
  </w:num>
  <w:num w:numId="4" w16cid:durableId="1554347997">
    <w:abstractNumId w:val="4"/>
  </w:num>
  <w:num w:numId="5" w16cid:durableId="504829994">
    <w:abstractNumId w:val="7"/>
  </w:num>
  <w:num w:numId="6" w16cid:durableId="662129125">
    <w:abstractNumId w:val="3"/>
  </w:num>
  <w:num w:numId="7" w16cid:durableId="1977636494">
    <w:abstractNumId w:val="2"/>
  </w:num>
  <w:num w:numId="8" w16cid:durableId="1162308957">
    <w:abstractNumId w:val="1"/>
  </w:num>
  <w:num w:numId="9" w16cid:durableId="23100171">
    <w:abstractNumId w:val="0"/>
  </w:num>
  <w:num w:numId="10" w16cid:durableId="11681294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67CC7"/>
    <w:rsid w:val="001870EC"/>
    <w:rsid w:val="0018762A"/>
    <w:rsid w:val="00247AA5"/>
    <w:rsid w:val="00261A6C"/>
    <w:rsid w:val="0029639D"/>
    <w:rsid w:val="00326F90"/>
    <w:rsid w:val="003B1471"/>
    <w:rsid w:val="00441A59"/>
    <w:rsid w:val="0058561A"/>
    <w:rsid w:val="005E0CF0"/>
    <w:rsid w:val="00676340"/>
    <w:rsid w:val="00750E94"/>
    <w:rsid w:val="0075437B"/>
    <w:rsid w:val="0076236F"/>
    <w:rsid w:val="009D1379"/>
    <w:rsid w:val="00AA1D8D"/>
    <w:rsid w:val="00B0265D"/>
    <w:rsid w:val="00B47730"/>
    <w:rsid w:val="00C47F24"/>
    <w:rsid w:val="00CB0664"/>
    <w:rsid w:val="00E36437"/>
    <w:rsid w:val="00F368B4"/>
    <w:rsid w:val="00F80D7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AFDD98"/>
  <w14:defaultImageDpi w14:val="300"/>
  <w15:docId w15:val="{29A74044-C0AF-49E3-BCE0-BF3F2C378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B0265D"/>
    <w:rPr>
      <w:color w:val="0000FF" w:themeColor="hyperlink"/>
      <w:u w:val="single"/>
    </w:rPr>
  </w:style>
  <w:style w:type="character" w:styleId="UnresolvedMention">
    <w:name w:val="Unresolved Mention"/>
    <w:basedOn w:val="DefaultParagraphFont"/>
    <w:uiPriority w:val="99"/>
    <w:semiHidden/>
    <w:unhideWhenUsed/>
    <w:rsid w:val="00B0265D"/>
    <w:rPr>
      <w:color w:val="605E5C"/>
      <w:shd w:val="clear" w:color="auto" w:fill="E1DFDD"/>
    </w:rPr>
  </w:style>
  <w:style w:type="character" w:styleId="FollowedHyperlink">
    <w:name w:val="FollowedHyperlink"/>
    <w:basedOn w:val="DefaultParagraphFont"/>
    <w:uiPriority w:val="99"/>
    <w:semiHidden/>
    <w:unhideWhenUsed/>
    <w:rsid w:val="00E364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lyeye.io/drone-acronym-eo-ir/" TargetMode="External"/><Relationship Id="rId18" Type="http://schemas.openxmlformats.org/officeDocument/2006/relationships/hyperlink" Target="https://www.youtube.com/watch?v=-PAO0M74hWY" TargetMode="External"/><Relationship Id="rId3" Type="http://schemas.openxmlformats.org/officeDocument/2006/relationships/customXml" Target="../customXml/item3.xml"/><Relationship Id="rId21" Type="http://schemas.openxmlformats.org/officeDocument/2006/relationships/hyperlink" Target="https://www.flir.com/discover/rd-science/what-is-eoir/" TargetMode="External"/><Relationship Id="rId7" Type="http://schemas.openxmlformats.org/officeDocument/2006/relationships/settings" Target="settings.xml"/><Relationship Id="rId12" Type="http://schemas.openxmlformats.org/officeDocument/2006/relationships/hyperlink" Target="https://www.flir.com/discover/rd-science/what-is-eoir/" TargetMode="External"/><Relationship Id="rId17" Type="http://schemas.openxmlformats.org/officeDocument/2006/relationships/hyperlink" Target="https://www.youtube.com/watch?v=ls_H5neDNBc"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cience.nasa.gov/ems/07_infraredwaves/" TargetMode="External"/><Relationship Id="rId20" Type="http://schemas.openxmlformats.org/officeDocument/2006/relationships/hyperlink" Target="https://www.ida.org/-/media/feature/publications/a/at/a-tutorial-on-e-lectro--opticalinfrared-eoir-theory-and-systems/ida-document-d-4642.ash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youtu.be/UAeJHAFjwP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sys.com/blog/ansys-solution-overview-electro-optic" TargetMode="External"/><Relationship Id="rId22" Type="http://schemas.openxmlformats.org/officeDocument/2006/relationships/hyperlink" Target="https://www.opto-e.com/en/basics/ir-op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b73830d-a005-4743-8cd8-e87a4ac562f6" xsi:nil="true"/>
    <lcf76f155ced4ddcb4097134ff3c332f xmlns="67375120-cfa1-406d-8cb1-0c704790c8d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393A5A80421C48B5243C4E15AC9CC3" ma:contentTypeVersion="10" ma:contentTypeDescription="Create a new document." ma:contentTypeScope="" ma:versionID="104f330b8a0eeb9e1a71ebb07f7d92ca">
  <xsd:schema xmlns:xsd="http://www.w3.org/2001/XMLSchema" xmlns:xs="http://www.w3.org/2001/XMLSchema" xmlns:p="http://schemas.microsoft.com/office/2006/metadata/properties" xmlns:ns2="67375120-cfa1-406d-8cb1-0c704790c8d8" xmlns:ns3="8b73830d-a005-4743-8cd8-e87a4ac562f6" targetNamespace="http://schemas.microsoft.com/office/2006/metadata/properties" ma:root="true" ma:fieldsID="d0511a3d02ade35c4dfac55bf2b13186" ns2:_="" ns3:_="">
    <xsd:import namespace="67375120-cfa1-406d-8cb1-0c704790c8d8"/>
    <xsd:import namespace="8b73830d-a005-4743-8cd8-e87a4ac562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75120-cfa1-406d-8cb1-0c704790c8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73830d-a005-4743-8cd8-e87a4ac562f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cbbf9ce-7d1a-45de-b974-ced66d65c525}" ma:internalName="TaxCatchAll" ma:showField="CatchAllData" ma:web="8b73830d-a005-4743-8cd8-e87a4ac562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EE1A1-BEA4-4710-9DD0-8326AC5671D1}">
  <ds:schemaRefs>
    <ds:schemaRef ds:uri="http://schemas.microsoft.com/office/2006/metadata/properties"/>
    <ds:schemaRef ds:uri="http://schemas.microsoft.com/office/infopath/2007/PartnerControls"/>
    <ds:schemaRef ds:uri="8b73830d-a005-4743-8cd8-e87a4ac562f6"/>
    <ds:schemaRef ds:uri="67375120-cfa1-406d-8cb1-0c704790c8d8"/>
  </ds:schemaRefs>
</ds:datastoreItem>
</file>

<file path=customXml/itemProps2.xml><?xml version="1.0" encoding="utf-8"?>
<ds:datastoreItem xmlns:ds="http://schemas.openxmlformats.org/officeDocument/2006/customXml" ds:itemID="{A4C06ADB-116D-4716-9AF0-E2BE567EFA31}">
  <ds:schemaRefs>
    <ds:schemaRef ds:uri="http://schemas.microsoft.com/sharepoint/v3/contenttype/forms"/>
  </ds:schemaRefs>
</ds:datastoreItem>
</file>

<file path=customXml/itemProps3.xml><?xml version="1.0" encoding="utf-8"?>
<ds:datastoreItem xmlns:ds="http://schemas.openxmlformats.org/officeDocument/2006/customXml" ds:itemID="{6D0B7EB1-8502-4E4D-B412-0CF8D1101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75120-cfa1-406d-8cb1-0c704790c8d8"/>
    <ds:schemaRef ds:uri="8b73830d-a005-4743-8cd8-e87a4ac56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557</Words>
  <Characters>3963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Huson, Michael</cp:lastModifiedBy>
  <cp:revision>3</cp:revision>
  <dcterms:created xsi:type="dcterms:W3CDTF">2026-03-05T15:37:00Z</dcterms:created>
  <dcterms:modified xsi:type="dcterms:W3CDTF">2026-03-05T17:41:00Z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0x0101004D393A5A80421C48B5243C4E15AC9CC3</vt:lpwstr>
  </property>
</Properties>
</file>